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A9" w:rsidRDefault="004119A9"/>
    <w:p w:rsidR="00A57118" w:rsidRDefault="00A57118" w:rsidP="00E51578">
      <w:pPr>
        <w:spacing w:after="86" w:line="299" w:lineRule="atLeast"/>
        <w:outlineLvl w:val="0"/>
        <w:rPr>
          <w:rFonts w:ascii="Arial" w:eastAsia="Times New Roman" w:hAnsi="Arial" w:cs="Arial"/>
          <w:b/>
          <w:bCs/>
          <w:color w:val="2D3049"/>
          <w:kern w:val="36"/>
          <w:sz w:val="40"/>
          <w:szCs w:val="27"/>
          <w:lang w:eastAsia="fr-FR"/>
        </w:rPr>
      </w:pPr>
      <w:r>
        <w:rPr>
          <w:rFonts w:ascii="Arial" w:eastAsia="Times New Roman" w:hAnsi="Arial" w:cs="Arial"/>
          <w:b/>
          <w:bCs/>
          <w:color w:val="2D3049"/>
          <w:kern w:val="36"/>
          <w:sz w:val="52"/>
          <w:szCs w:val="27"/>
          <w:lang w:eastAsia="fr-FR"/>
        </w:rPr>
        <w:t xml:space="preserve">             </w:t>
      </w:r>
      <w:r w:rsidR="00E51578" w:rsidRPr="00A57118">
        <w:rPr>
          <w:rFonts w:ascii="Arial" w:eastAsia="Times New Roman" w:hAnsi="Arial" w:cs="Arial"/>
          <w:b/>
          <w:bCs/>
          <w:color w:val="2D3049"/>
          <w:kern w:val="36"/>
          <w:sz w:val="52"/>
          <w:szCs w:val="27"/>
          <w:lang w:eastAsia="fr-FR"/>
        </w:rPr>
        <w:t>F</w:t>
      </w:r>
      <w:r w:rsidR="00E51578" w:rsidRPr="00E51578">
        <w:rPr>
          <w:rFonts w:ascii="Arial" w:eastAsia="Times New Roman" w:hAnsi="Arial" w:cs="Arial"/>
          <w:b/>
          <w:bCs/>
          <w:color w:val="2D3049"/>
          <w:kern w:val="36"/>
          <w:sz w:val="52"/>
          <w:szCs w:val="27"/>
          <w:lang w:eastAsia="fr-FR"/>
        </w:rPr>
        <w:t xml:space="preserve">oncier agricole </w:t>
      </w:r>
      <w:r w:rsidR="00E51578" w:rsidRPr="00E51578">
        <w:rPr>
          <w:rFonts w:ascii="Arial" w:eastAsia="Times New Roman" w:hAnsi="Arial" w:cs="Arial"/>
          <w:b/>
          <w:bCs/>
          <w:color w:val="2D3049"/>
          <w:kern w:val="36"/>
          <w:sz w:val="40"/>
          <w:szCs w:val="27"/>
          <w:lang w:eastAsia="fr-FR"/>
        </w:rPr>
        <w:t>:</w:t>
      </w:r>
    </w:p>
    <w:p w:rsidR="00A57118" w:rsidRDefault="00A57118" w:rsidP="00E51578">
      <w:pPr>
        <w:spacing w:after="86" w:line="299" w:lineRule="atLeast"/>
        <w:outlineLvl w:val="0"/>
        <w:rPr>
          <w:rFonts w:ascii="Arial" w:eastAsia="Times New Roman" w:hAnsi="Arial" w:cs="Arial"/>
          <w:b/>
          <w:bCs/>
          <w:color w:val="2D3049"/>
          <w:kern w:val="36"/>
          <w:sz w:val="40"/>
          <w:szCs w:val="27"/>
          <w:lang w:eastAsia="fr-FR"/>
        </w:rPr>
      </w:pPr>
    </w:p>
    <w:p w:rsidR="00E51578" w:rsidRPr="00E51578" w:rsidRDefault="00E51578" w:rsidP="00E51578">
      <w:pPr>
        <w:spacing w:after="86" w:line="299" w:lineRule="atLeast"/>
        <w:outlineLvl w:val="0"/>
        <w:rPr>
          <w:rFonts w:ascii="Arial" w:eastAsia="Times New Roman" w:hAnsi="Arial" w:cs="Arial"/>
          <w:b/>
          <w:bCs/>
          <w:color w:val="2D3049"/>
          <w:kern w:val="36"/>
          <w:sz w:val="40"/>
          <w:szCs w:val="27"/>
          <w:lang w:eastAsia="fr-FR"/>
        </w:rPr>
      </w:pPr>
      <w:r w:rsidRPr="00E51578">
        <w:rPr>
          <w:rFonts w:ascii="Arial" w:eastAsia="Times New Roman" w:hAnsi="Arial" w:cs="Arial"/>
          <w:b/>
          <w:bCs/>
          <w:color w:val="2D3049"/>
          <w:kern w:val="36"/>
          <w:sz w:val="40"/>
          <w:szCs w:val="27"/>
          <w:lang w:eastAsia="fr-FR"/>
        </w:rPr>
        <w:t>le marché repart après trois années de baisse, les prix des terres poursuivent leur hausse</w:t>
      </w:r>
    </w:p>
    <w:p w:rsidR="00E51578" w:rsidRPr="00E51578" w:rsidRDefault="00E51578" w:rsidP="00E51578">
      <w:pPr>
        <w:spacing w:after="0" w:line="240" w:lineRule="auto"/>
        <w:rPr>
          <w:rFonts w:ascii="Times New Roman" w:eastAsia="Times New Roman" w:hAnsi="Times New Roman" w:cs="Times New Roman"/>
          <w:color w:val="0000FF"/>
          <w:sz w:val="24"/>
          <w:szCs w:val="24"/>
          <w:lang w:eastAsia="fr-FR"/>
        </w:rPr>
      </w:pPr>
      <w:r w:rsidRPr="00E51578">
        <w:rPr>
          <w:rFonts w:ascii="Times New Roman" w:eastAsia="Times New Roman" w:hAnsi="Times New Roman" w:cs="Times New Roman"/>
          <w:color w:val="2D3049"/>
          <w:sz w:val="27"/>
          <w:szCs w:val="27"/>
          <w:lang w:eastAsia="fr-FR"/>
        </w:rPr>
        <w:fldChar w:fldCharType="begin"/>
      </w:r>
      <w:r w:rsidRPr="00E51578">
        <w:rPr>
          <w:rFonts w:ascii="Times New Roman" w:eastAsia="Times New Roman" w:hAnsi="Times New Roman" w:cs="Times New Roman"/>
          <w:color w:val="2D3049"/>
          <w:sz w:val="27"/>
          <w:szCs w:val="27"/>
          <w:lang w:eastAsia="fr-FR"/>
        </w:rPr>
        <w:instrText xml:space="preserve"> HYPERLINK "https://www.pleinchamp.com/nos-partenaires/pleinchamp" </w:instrText>
      </w:r>
      <w:r w:rsidRPr="00E51578">
        <w:rPr>
          <w:rFonts w:ascii="Times New Roman" w:eastAsia="Times New Roman" w:hAnsi="Times New Roman" w:cs="Times New Roman"/>
          <w:color w:val="2D3049"/>
          <w:sz w:val="27"/>
          <w:szCs w:val="27"/>
          <w:lang w:eastAsia="fr-FR"/>
        </w:rPr>
        <w:fldChar w:fldCharType="separate"/>
      </w:r>
    </w:p>
    <w:p w:rsidR="00E51578" w:rsidRDefault="00E51578" w:rsidP="00E51578">
      <w:pPr>
        <w:spacing w:after="0" w:line="240" w:lineRule="auto"/>
        <w:rPr>
          <w:rFonts w:ascii="Times New Roman" w:eastAsia="Times New Roman" w:hAnsi="Times New Roman" w:cs="Times New Roman"/>
          <w:color w:val="2D3049"/>
          <w:sz w:val="27"/>
          <w:szCs w:val="27"/>
          <w:lang w:eastAsia="fr-FR"/>
        </w:rPr>
      </w:pPr>
      <w:r w:rsidRPr="00E51578">
        <w:rPr>
          <w:rFonts w:ascii="Times New Roman" w:eastAsia="Times New Roman" w:hAnsi="Times New Roman" w:cs="Times New Roman"/>
          <w:color w:val="2D3049"/>
          <w:sz w:val="27"/>
          <w:szCs w:val="27"/>
          <w:lang w:eastAsia="fr-FR"/>
        </w:rPr>
        <w:fldChar w:fldCharType="end"/>
      </w:r>
    </w:p>
    <w:p w:rsidR="00E51578" w:rsidRDefault="00E51578" w:rsidP="00E51578">
      <w:pPr>
        <w:spacing w:after="0" w:line="240" w:lineRule="auto"/>
        <w:rPr>
          <w:rFonts w:ascii="Times New Roman" w:eastAsia="Times New Roman" w:hAnsi="Times New Roman" w:cs="Times New Roman"/>
          <w:color w:val="2D3049"/>
          <w:sz w:val="27"/>
          <w:szCs w:val="27"/>
          <w:lang w:eastAsia="fr-FR"/>
        </w:rPr>
      </w:pPr>
    </w:p>
    <w:p w:rsidR="00E51578" w:rsidRPr="00E51578" w:rsidRDefault="00E51578" w:rsidP="00E51578">
      <w:pPr>
        <w:spacing w:after="0" w:line="240" w:lineRule="auto"/>
        <w:rPr>
          <w:rFonts w:ascii="Times New Roman" w:eastAsia="Times New Roman" w:hAnsi="Times New Roman" w:cs="Times New Roman"/>
          <w:color w:val="2D3049"/>
          <w:sz w:val="27"/>
          <w:szCs w:val="27"/>
          <w:lang w:eastAsia="fr-FR"/>
        </w:rPr>
      </w:pPr>
    </w:p>
    <w:p w:rsidR="00E51578" w:rsidRPr="00E51578" w:rsidRDefault="00E51578" w:rsidP="00E51578">
      <w:pPr>
        <w:spacing w:after="342" w:line="242" w:lineRule="atLeast"/>
        <w:jc w:val="both"/>
        <w:rPr>
          <w:rFonts w:eastAsia="Times New Roman" w:cstheme="minorHAnsi"/>
          <w:b/>
          <w:color w:val="2D3049"/>
          <w:sz w:val="36"/>
          <w:szCs w:val="16"/>
          <w:lang w:eastAsia="fr-FR"/>
        </w:rPr>
      </w:pPr>
      <w:r w:rsidRPr="00E51578">
        <w:rPr>
          <w:rFonts w:eastAsia="Times New Roman" w:cstheme="minorHAnsi"/>
          <w:b/>
          <w:color w:val="2D3049"/>
          <w:sz w:val="36"/>
          <w:szCs w:val="16"/>
          <w:lang w:eastAsia="fr-FR"/>
        </w:rPr>
        <w:t>Après trois années de recul, la tendance s’inverse pour le marché du foncier agricole en 2025. Transactions, surfaces et valeurs progressent, portées notamment par la location de terres, tandis que les prix poursuivent leur hausse.</w:t>
      </w:r>
    </w:p>
    <w:p w:rsidR="00E51578" w:rsidRPr="00E51578" w:rsidRDefault="00E51578" w:rsidP="00E51578">
      <w:pPr>
        <w:spacing w:after="86" w:line="242" w:lineRule="atLeast"/>
        <w:jc w:val="both"/>
        <w:rPr>
          <w:rFonts w:eastAsia="Times New Roman" w:cstheme="minorHAnsi"/>
          <w:b/>
          <w:color w:val="2D3049"/>
          <w:sz w:val="32"/>
          <w:szCs w:val="13"/>
          <w:lang w:eastAsia="fr-FR"/>
        </w:rPr>
      </w:pPr>
      <w:r w:rsidRPr="00E51578">
        <w:rPr>
          <w:rFonts w:eastAsia="Times New Roman" w:cstheme="minorHAnsi"/>
          <w:b/>
          <w:color w:val="2D3049"/>
          <w:sz w:val="32"/>
          <w:szCs w:val="13"/>
          <w:lang w:eastAsia="fr-FR"/>
        </w:rPr>
        <w:t>En 2025, le marché des terres et prés est reparti à la hausse, mettant fin à la baisse continue observée depuis 2022. En un an, le nombre de transactions a progressé de 3%, les surfaces de 6% et la valeur de 11%, selon les chiffres dévoilés par le Groupe Safer le 21 mai 2026. Le marché repasse au-dessus du niveau de 2019 en surface et en valeur, et s’en approche sensiblement en nombre de transactions.</w:t>
      </w:r>
    </w:p>
    <w:p w:rsidR="00E51578" w:rsidRPr="00E51578" w:rsidRDefault="00E51578" w:rsidP="00E51578">
      <w:pPr>
        <w:spacing w:after="86" w:line="242" w:lineRule="atLeast"/>
        <w:jc w:val="both"/>
        <w:rPr>
          <w:rFonts w:eastAsia="Times New Roman" w:cstheme="minorHAnsi"/>
          <w:b/>
          <w:color w:val="2D3049"/>
          <w:sz w:val="32"/>
          <w:szCs w:val="13"/>
          <w:lang w:eastAsia="fr-FR"/>
        </w:rPr>
      </w:pPr>
      <w:r w:rsidRPr="00E51578">
        <w:rPr>
          <w:rFonts w:eastAsia="Times New Roman" w:cstheme="minorHAnsi"/>
          <w:b/>
          <w:color w:val="2D3049"/>
          <w:sz w:val="32"/>
          <w:szCs w:val="13"/>
          <w:lang w:eastAsia="fr-FR"/>
        </w:rPr>
        <w:t>Pour autant, on n’assiste pas à un raz-de-marée sur le marché du foncier agricole, alors même que les départs à la retraite se sont multipliés ces dernières années. </w:t>
      </w:r>
      <w:r w:rsidRPr="00E51578">
        <w:rPr>
          <w:rFonts w:eastAsia="Times New Roman" w:cstheme="minorHAnsi"/>
          <w:b/>
          <w:i/>
          <w:iCs/>
          <w:color w:val="2D3049"/>
          <w:sz w:val="32"/>
          <w:lang w:eastAsia="fr-FR"/>
        </w:rPr>
        <w:t>« La vague de foncier n’est pas là, et nous ne la verrons probablement pas,</w:t>
      </w:r>
      <w:r w:rsidRPr="00E51578">
        <w:rPr>
          <w:rFonts w:eastAsia="Times New Roman" w:cstheme="minorHAnsi"/>
          <w:b/>
          <w:color w:val="2D3049"/>
          <w:sz w:val="32"/>
          <w:szCs w:val="13"/>
          <w:lang w:eastAsia="fr-FR"/>
        </w:rPr>
        <w:t> a estimé Thierry Bussy, président de la Fédération nationale des Safer lors d’une conférence de presse à Paris. </w:t>
      </w:r>
      <w:r w:rsidRPr="00E51578">
        <w:rPr>
          <w:rFonts w:eastAsia="Times New Roman" w:cstheme="minorHAnsi"/>
          <w:b/>
          <w:i/>
          <w:iCs/>
          <w:color w:val="2D3049"/>
          <w:sz w:val="32"/>
          <w:lang w:eastAsia="fr-FR"/>
        </w:rPr>
        <w:t>La France est un pays de propriétaires. Les agriculteurs aujourd’hui ne vendent pas des parcelles de terre, ils transmettent des exploitations entières, des outils de production : du foncier en propriété et en location, des bâtiments, du matériel, du cheptel, des stocks… »</w:t>
      </w:r>
    </w:p>
    <w:p w:rsidR="00E51578" w:rsidRPr="00E51578" w:rsidRDefault="00E51578" w:rsidP="00E51578">
      <w:pPr>
        <w:spacing w:after="0" w:line="242" w:lineRule="atLeast"/>
        <w:jc w:val="both"/>
        <w:rPr>
          <w:rFonts w:ascii="Arial" w:eastAsia="Times New Roman" w:hAnsi="Arial" w:cs="Arial"/>
          <w:color w:val="2D3049"/>
          <w:sz w:val="18"/>
          <w:szCs w:val="13"/>
          <w:lang w:eastAsia="fr-FR"/>
        </w:rPr>
      </w:pPr>
    </w:p>
    <w:p w:rsidR="00E51578" w:rsidRDefault="00E51578" w:rsidP="00E51578">
      <w:pPr>
        <w:spacing w:after="86" w:line="242" w:lineRule="atLeast"/>
        <w:jc w:val="both"/>
        <w:rPr>
          <w:rFonts w:eastAsia="Times New Roman" w:cstheme="minorHAnsi"/>
          <w:b/>
          <w:color w:val="2D3049"/>
          <w:sz w:val="32"/>
          <w:szCs w:val="13"/>
          <w:lang w:eastAsia="fr-FR"/>
        </w:rPr>
      </w:pPr>
      <w:r w:rsidRPr="00E51578">
        <w:rPr>
          <w:rFonts w:eastAsia="Times New Roman" w:cstheme="minorHAnsi"/>
          <w:b/>
          <w:color w:val="2D3049"/>
          <w:sz w:val="32"/>
          <w:szCs w:val="13"/>
          <w:lang w:eastAsia="fr-FR"/>
        </w:rPr>
        <w:t xml:space="preserve">La reprise du marché observée en 2025 est largement soutenue par le marché des biens loués, désormais majoritaires par rapport aux terres libres. En 2025, les surfaces agricoles échangées concernaient </w:t>
      </w:r>
      <w:r w:rsidRPr="00E51578">
        <w:rPr>
          <w:rFonts w:eastAsia="Times New Roman" w:cstheme="minorHAnsi"/>
          <w:b/>
          <w:color w:val="2D3049"/>
          <w:sz w:val="32"/>
          <w:szCs w:val="13"/>
          <w:lang w:eastAsia="fr-FR"/>
        </w:rPr>
        <w:lastRenderedPageBreak/>
        <w:t>ainsi 181 800 hectares de biens libres et 242 800 hectares de biens loués.</w:t>
      </w:r>
    </w:p>
    <w:p w:rsidR="00A57118" w:rsidRPr="00E51578" w:rsidRDefault="00A57118" w:rsidP="00E51578">
      <w:pPr>
        <w:spacing w:after="86" w:line="242" w:lineRule="atLeast"/>
        <w:jc w:val="both"/>
        <w:rPr>
          <w:rFonts w:eastAsia="Times New Roman" w:cstheme="minorHAnsi"/>
          <w:b/>
          <w:color w:val="2D3049"/>
          <w:sz w:val="32"/>
          <w:szCs w:val="13"/>
          <w:lang w:eastAsia="fr-FR"/>
        </w:rPr>
      </w:pPr>
    </w:p>
    <w:p w:rsidR="00E51578" w:rsidRPr="00E51578" w:rsidRDefault="00E51578" w:rsidP="00E51578">
      <w:pPr>
        <w:spacing w:before="171" w:after="171" w:line="228" w:lineRule="atLeast"/>
        <w:jc w:val="both"/>
        <w:outlineLvl w:val="1"/>
        <w:rPr>
          <w:rFonts w:eastAsia="Times New Roman" w:cstheme="minorHAnsi"/>
          <w:b/>
          <w:bCs/>
          <w:color w:val="2D3049"/>
          <w:sz w:val="48"/>
          <w:szCs w:val="20"/>
          <w:lang w:eastAsia="fr-FR"/>
        </w:rPr>
      </w:pPr>
      <w:r w:rsidRPr="00E51578">
        <w:rPr>
          <w:rFonts w:eastAsia="Times New Roman" w:cstheme="minorHAnsi"/>
          <w:b/>
          <w:bCs/>
          <w:color w:val="2D3049"/>
          <w:sz w:val="48"/>
          <w:szCs w:val="20"/>
          <w:lang w:eastAsia="fr-FR"/>
        </w:rPr>
        <w:t>Prix des terres libres</w:t>
      </w:r>
    </w:p>
    <w:p w:rsidR="00E51578" w:rsidRPr="00E51578" w:rsidRDefault="00E51578" w:rsidP="00E51578">
      <w:pPr>
        <w:spacing w:after="86" w:line="242" w:lineRule="atLeast"/>
        <w:jc w:val="both"/>
        <w:rPr>
          <w:rFonts w:eastAsia="Times New Roman" w:cstheme="minorHAnsi"/>
          <w:b/>
          <w:color w:val="2D3049"/>
          <w:sz w:val="32"/>
          <w:szCs w:val="13"/>
          <w:lang w:eastAsia="fr-FR"/>
        </w:rPr>
      </w:pPr>
      <w:r w:rsidRPr="00E51578">
        <w:rPr>
          <w:rFonts w:eastAsia="Times New Roman" w:cstheme="minorHAnsi"/>
          <w:b/>
          <w:color w:val="2D3049"/>
          <w:sz w:val="32"/>
          <w:szCs w:val="13"/>
          <w:lang w:eastAsia="fr-FR"/>
        </w:rPr>
        <w:t>Les prix moyens des terres poursuivent leur progression pour la quatrième année consécutive, atteignant un niveau inédit. Le prix moyen national des terres et prés libres non bâtis s’établit à 6 460 €/ha, en hausse de 0,9%, avec une différence marquée entre les zones de grandes cultures, dont la moyenne affiche une hausse de 4,2% et dépasse les 8000 €/ha, et les zones d’élevage bovin qui, après une nette remontée en 2024, se replient légèrement (-1%) avec une moyenne de 4740 €/ha.</w:t>
      </w:r>
    </w:p>
    <w:p w:rsidR="00E51578" w:rsidRDefault="00E51578" w:rsidP="00E51578">
      <w:pPr>
        <w:spacing w:after="0" w:line="242" w:lineRule="atLeast"/>
        <w:rPr>
          <w:rFonts w:ascii="Arial" w:eastAsia="Times New Roman" w:hAnsi="Arial" w:cs="Arial"/>
          <w:color w:val="2D3049"/>
          <w:sz w:val="13"/>
          <w:szCs w:val="13"/>
          <w:lang w:eastAsia="fr-FR"/>
        </w:rPr>
      </w:pPr>
      <w:r>
        <w:rPr>
          <w:rFonts w:ascii="Arial" w:eastAsia="Times New Roman" w:hAnsi="Arial" w:cs="Arial"/>
          <w:noProof/>
          <w:color w:val="2D3049"/>
          <w:sz w:val="13"/>
          <w:szCs w:val="13"/>
          <w:lang w:eastAsia="fr-FR"/>
        </w:rPr>
        <w:lastRenderedPageBreak/>
        <w:drawing>
          <wp:inline distT="0" distB="0" distL="0" distR="0">
            <wp:extent cx="5916295" cy="6849110"/>
            <wp:effectExtent l="19050" t="0" r="8255" b="0"/>
            <wp:docPr id="3" name="Image 3" descr="https://bo.prod.pleinchamp.com/var/site/storage/images/_aliases/gallery/7/8/8/5/8445887-1-fre-FR/85d720c8f051-Capture-d-ecran-2026-05-22-09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prod.pleinchamp.com/var/site/storage/images/_aliases/gallery/7/8/8/5/8445887-1-fre-FR/85d720c8f051-Capture-d-ecran-2026-05-22-093956.png"/>
                    <pic:cNvPicPr>
                      <a:picLocks noChangeAspect="1" noChangeArrowheads="1"/>
                    </pic:cNvPicPr>
                  </pic:nvPicPr>
                  <pic:blipFill>
                    <a:blip r:embed="rId7"/>
                    <a:srcRect/>
                    <a:stretch>
                      <a:fillRect/>
                    </a:stretch>
                  </pic:blipFill>
                  <pic:spPr bwMode="auto">
                    <a:xfrm>
                      <a:off x="0" y="0"/>
                      <a:ext cx="5916295" cy="6849110"/>
                    </a:xfrm>
                    <a:prstGeom prst="rect">
                      <a:avLst/>
                    </a:prstGeom>
                    <a:noFill/>
                    <a:ln w="9525">
                      <a:noFill/>
                      <a:miter lim="800000"/>
                      <a:headEnd/>
                      <a:tailEnd/>
                    </a:ln>
                  </pic:spPr>
                </pic:pic>
              </a:graphicData>
            </a:graphic>
          </wp:inline>
        </w:drawing>
      </w:r>
    </w:p>
    <w:p w:rsidR="00A57118" w:rsidRDefault="00A57118" w:rsidP="00E51578">
      <w:pPr>
        <w:spacing w:after="0" w:line="242" w:lineRule="atLeast"/>
        <w:rPr>
          <w:rFonts w:ascii="Arial" w:eastAsia="Times New Roman" w:hAnsi="Arial" w:cs="Arial"/>
          <w:color w:val="2D3049"/>
          <w:sz w:val="13"/>
          <w:szCs w:val="13"/>
          <w:lang w:eastAsia="fr-FR"/>
        </w:rPr>
      </w:pPr>
    </w:p>
    <w:p w:rsidR="00A57118" w:rsidRDefault="00A57118" w:rsidP="00E51578">
      <w:pPr>
        <w:spacing w:after="0" w:line="242" w:lineRule="atLeast"/>
        <w:rPr>
          <w:rFonts w:ascii="Arial" w:eastAsia="Times New Roman" w:hAnsi="Arial" w:cs="Arial"/>
          <w:color w:val="2D3049"/>
          <w:sz w:val="13"/>
          <w:szCs w:val="13"/>
          <w:lang w:eastAsia="fr-FR"/>
        </w:rPr>
      </w:pPr>
    </w:p>
    <w:p w:rsidR="00A57118" w:rsidRPr="00E51578" w:rsidRDefault="00A57118" w:rsidP="00E51578">
      <w:pPr>
        <w:spacing w:after="0" w:line="242" w:lineRule="atLeast"/>
        <w:rPr>
          <w:rFonts w:ascii="Arial" w:eastAsia="Times New Roman" w:hAnsi="Arial" w:cs="Arial"/>
          <w:color w:val="2D3049"/>
          <w:sz w:val="13"/>
          <w:szCs w:val="13"/>
          <w:lang w:eastAsia="fr-FR"/>
        </w:rPr>
      </w:pPr>
    </w:p>
    <w:p w:rsidR="00E51578" w:rsidRPr="00E51578" w:rsidRDefault="00E51578" w:rsidP="00E51578">
      <w:pPr>
        <w:spacing w:before="171" w:after="171" w:line="228" w:lineRule="atLeast"/>
        <w:outlineLvl w:val="1"/>
        <w:rPr>
          <w:rFonts w:ascii="Arial" w:eastAsia="Times New Roman" w:hAnsi="Arial" w:cs="Arial"/>
          <w:b/>
          <w:bCs/>
          <w:color w:val="2D3049"/>
          <w:sz w:val="44"/>
          <w:szCs w:val="20"/>
          <w:lang w:eastAsia="fr-FR"/>
        </w:rPr>
      </w:pPr>
      <w:r w:rsidRPr="00E51578">
        <w:rPr>
          <w:rFonts w:ascii="Arial" w:eastAsia="Times New Roman" w:hAnsi="Arial" w:cs="Arial"/>
          <w:b/>
          <w:bCs/>
          <w:color w:val="2D3049"/>
          <w:sz w:val="44"/>
          <w:szCs w:val="20"/>
          <w:lang w:eastAsia="fr-FR"/>
        </w:rPr>
        <w:t>Prix des terres louées</w:t>
      </w:r>
    </w:p>
    <w:p w:rsidR="00E51578" w:rsidRPr="00E51578" w:rsidRDefault="00E51578" w:rsidP="00E51578">
      <w:pPr>
        <w:spacing w:after="86" w:line="242" w:lineRule="atLeast"/>
        <w:rPr>
          <w:rFonts w:ascii="Arial" w:eastAsia="Times New Roman" w:hAnsi="Arial" w:cs="Arial"/>
          <w:b/>
          <w:color w:val="2D3049"/>
          <w:sz w:val="32"/>
          <w:szCs w:val="13"/>
          <w:lang w:eastAsia="fr-FR"/>
        </w:rPr>
      </w:pPr>
      <w:r w:rsidRPr="00E51578">
        <w:rPr>
          <w:rFonts w:ascii="Arial" w:eastAsia="Times New Roman" w:hAnsi="Arial" w:cs="Arial"/>
          <w:b/>
          <w:color w:val="2D3049"/>
          <w:sz w:val="32"/>
          <w:szCs w:val="13"/>
          <w:lang w:eastAsia="fr-FR"/>
        </w:rPr>
        <w:t xml:space="preserve">Quant au prix des terres et prés loués non bâtis, il affiche une hausse de 2,5% pour s’établir en moyenne nationale à 5 350 €/ha. Comme pour les terres libres, les zones de grandes cultures affichent le prix le plus élevé (6800 €/ha), </w:t>
      </w:r>
      <w:r w:rsidRPr="00E51578">
        <w:rPr>
          <w:rFonts w:ascii="Arial" w:eastAsia="Times New Roman" w:hAnsi="Arial" w:cs="Arial"/>
          <w:b/>
          <w:color w:val="2D3049"/>
          <w:sz w:val="32"/>
          <w:szCs w:val="13"/>
          <w:lang w:eastAsia="fr-FR"/>
        </w:rPr>
        <w:lastRenderedPageBreak/>
        <w:t>68% au-dessus du prix des zones d’élevage bovin (4040€/ha).</w:t>
      </w:r>
    </w:p>
    <w:p w:rsidR="00E51578" w:rsidRDefault="00E51578" w:rsidP="00E51578">
      <w:pPr>
        <w:spacing w:after="0" w:line="242" w:lineRule="atLeast"/>
        <w:rPr>
          <w:rFonts w:ascii="Arial" w:eastAsia="Times New Roman" w:hAnsi="Arial" w:cs="Arial"/>
          <w:color w:val="2D3049"/>
          <w:sz w:val="13"/>
          <w:szCs w:val="13"/>
          <w:lang w:eastAsia="fr-FR"/>
        </w:rPr>
      </w:pPr>
      <w:r>
        <w:rPr>
          <w:rFonts w:ascii="Arial" w:eastAsia="Times New Roman" w:hAnsi="Arial" w:cs="Arial"/>
          <w:noProof/>
          <w:color w:val="2D3049"/>
          <w:sz w:val="13"/>
          <w:szCs w:val="13"/>
          <w:lang w:eastAsia="fr-FR"/>
        </w:rPr>
        <w:drawing>
          <wp:inline distT="0" distB="0" distL="0" distR="0">
            <wp:extent cx="5762625" cy="5522595"/>
            <wp:effectExtent l="19050" t="0" r="9525" b="0"/>
            <wp:docPr id="4" name="Image 4" descr="https://bo.prod.pleinchamp.com/var/site/storage/images/_aliases/gallery/1/9/8/5/8445891-1-fre-FR/a2026ca04b85-Capture-d-ecran-2026-05-22-094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o.prod.pleinchamp.com/var/site/storage/images/_aliases/gallery/1/9/8/5/8445891-1-fre-FR/a2026ca04b85-Capture-d-ecran-2026-05-22-094232.png"/>
                    <pic:cNvPicPr>
                      <a:picLocks noChangeAspect="1" noChangeArrowheads="1"/>
                    </pic:cNvPicPr>
                  </pic:nvPicPr>
                  <pic:blipFill>
                    <a:blip r:embed="rId8"/>
                    <a:srcRect/>
                    <a:stretch>
                      <a:fillRect/>
                    </a:stretch>
                  </pic:blipFill>
                  <pic:spPr bwMode="auto">
                    <a:xfrm>
                      <a:off x="0" y="0"/>
                      <a:ext cx="5762625" cy="5522595"/>
                    </a:xfrm>
                    <a:prstGeom prst="rect">
                      <a:avLst/>
                    </a:prstGeom>
                    <a:noFill/>
                    <a:ln w="9525">
                      <a:noFill/>
                      <a:miter lim="800000"/>
                      <a:headEnd/>
                      <a:tailEnd/>
                    </a:ln>
                  </pic:spPr>
                </pic:pic>
              </a:graphicData>
            </a:graphic>
          </wp:inline>
        </w:drawing>
      </w:r>
    </w:p>
    <w:p w:rsidR="00E51578" w:rsidRDefault="00E51578" w:rsidP="00E51578">
      <w:pPr>
        <w:spacing w:after="0" w:line="242" w:lineRule="atLeast"/>
        <w:rPr>
          <w:rFonts w:ascii="Arial" w:eastAsia="Times New Roman" w:hAnsi="Arial" w:cs="Arial"/>
          <w:color w:val="2D3049"/>
          <w:sz w:val="13"/>
          <w:szCs w:val="13"/>
          <w:lang w:eastAsia="fr-FR"/>
        </w:rPr>
      </w:pPr>
    </w:p>
    <w:p w:rsidR="00E51578" w:rsidRDefault="00E51578" w:rsidP="00E51578">
      <w:pPr>
        <w:spacing w:after="0" w:line="242" w:lineRule="atLeast"/>
        <w:rPr>
          <w:rFonts w:ascii="Arial" w:eastAsia="Times New Roman" w:hAnsi="Arial" w:cs="Arial"/>
          <w:color w:val="2D3049"/>
          <w:sz w:val="13"/>
          <w:szCs w:val="13"/>
          <w:lang w:eastAsia="fr-FR"/>
        </w:rPr>
      </w:pPr>
    </w:p>
    <w:p w:rsidR="00E51578" w:rsidRDefault="00E51578" w:rsidP="00E51578">
      <w:pPr>
        <w:spacing w:after="0" w:line="242" w:lineRule="atLeast"/>
        <w:rPr>
          <w:rFonts w:ascii="Arial" w:eastAsia="Times New Roman" w:hAnsi="Arial" w:cs="Arial"/>
          <w:color w:val="2D3049"/>
          <w:sz w:val="13"/>
          <w:szCs w:val="13"/>
          <w:lang w:eastAsia="fr-FR"/>
        </w:rPr>
      </w:pPr>
    </w:p>
    <w:p w:rsidR="00E51578" w:rsidRDefault="00E51578" w:rsidP="00E51578">
      <w:pPr>
        <w:spacing w:after="0" w:line="242" w:lineRule="atLeast"/>
        <w:rPr>
          <w:rFonts w:ascii="Arial" w:eastAsia="Times New Roman" w:hAnsi="Arial" w:cs="Arial"/>
          <w:color w:val="2D3049"/>
          <w:sz w:val="13"/>
          <w:szCs w:val="13"/>
          <w:lang w:eastAsia="fr-FR"/>
        </w:rPr>
      </w:pPr>
    </w:p>
    <w:p w:rsidR="00E51578" w:rsidRPr="00E51578" w:rsidRDefault="00E51578" w:rsidP="00E51578">
      <w:pPr>
        <w:spacing w:after="0" w:line="242" w:lineRule="atLeast"/>
        <w:rPr>
          <w:rFonts w:ascii="Arial" w:eastAsia="Times New Roman" w:hAnsi="Arial" w:cs="Arial"/>
          <w:color w:val="2D3049"/>
          <w:sz w:val="13"/>
          <w:szCs w:val="13"/>
          <w:lang w:eastAsia="fr-FR"/>
        </w:rPr>
      </w:pPr>
    </w:p>
    <w:p w:rsidR="00E51578" w:rsidRPr="00E51578" w:rsidRDefault="00E51578" w:rsidP="00E51578">
      <w:pPr>
        <w:spacing w:before="171" w:after="171" w:line="228" w:lineRule="atLeast"/>
        <w:outlineLvl w:val="1"/>
        <w:rPr>
          <w:rFonts w:ascii="Arial" w:eastAsia="Times New Roman" w:hAnsi="Arial" w:cs="Arial"/>
          <w:bCs/>
          <w:color w:val="2D3049"/>
          <w:sz w:val="44"/>
          <w:szCs w:val="20"/>
          <w:lang w:eastAsia="fr-FR"/>
        </w:rPr>
      </w:pPr>
      <w:r w:rsidRPr="00E51578">
        <w:rPr>
          <w:rFonts w:ascii="Arial" w:eastAsia="Times New Roman" w:hAnsi="Arial" w:cs="Arial"/>
          <w:bCs/>
          <w:color w:val="2D3049"/>
          <w:sz w:val="44"/>
          <w:szCs w:val="20"/>
          <w:lang w:eastAsia="fr-FR"/>
        </w:rPr>
        <w:t>Qui vend et qui achète des terres agricoles ?</w:t>
      </w:r>
    </w:p>
    <w:p w:rsidR="00E51578" w:rsidRPr="00E51578" w:rsidRDefault="00E51578" w:rsidP="00E51578">
      <w:pPr>
        <w:spacing w:after="86" w:line="242" w:lineRule="atLeast"/>
        <w:rPr>
          <w:rFonts w:ascii="Arial" w:eastAsia="Times New Roman" w:hAnsi="Arial" w:cs="Arial"/>
          <w:b/>
          <w:color w:val="2D3049"/>
          <w:sz w:val="32"/>
          <w:szCs w:val="13"/>
          <w:lang w:eastAsia="fr-FR"/>
        </w:rPr>
      </w:pPr>
      <w:r w:rsidRPr="00E51578">
        <w:rPr>
          <w:rFonts w:ascii="Arial" w:eastAsia="Times New Roman" w:hAnsi="Arial" w:cs="Arial"/>
          <w:b/>
          <w:color w:val="2D3049"/>
          <w:sz w:val="32"/>
          <w:szCs w:val="13"/>
          <w:lang w:eastAsia="fr-FR"/>
        </w:rPr>
        <w:t>En grande majorité (72,5%), les vendeurs sont des « personnes physiques non agricoles », notamment des anciens agriculteurs ou des membres de leur famille. Dans plus d’un cas sur deux, la vente se fait au profit d’une personnes physique agricole, pouvant notamment traduire, concernant les biens en location, le mouvement de rachat de foncier par l’exploitant à son propriétaire-bailleur.</w:t>
      </w:r>
    </w:p>
    <w:p w:rsidR="00E51578" w:rsidRPr="00E51578" w:rsidRDefault="00E51578" w:rsidP="00E51578">
      <w:pPr>
        <w:spacing w:after="86" w:line="242" w:lineRule="atLeast"/>
        <w:rPr>
          <w:rFonts w:ascii="Arial" w:eastAsia="Times New Roman" w:hAnsi="Arial" w:cs="Arial"/>
          <w:b/>
          <w:color w:val="2D3049"/>
          <w:sz w:val="32"/>
          <w:szCs w:val="13"/>
          <w:lang w:eastAsia="fr-FR"/>
        </w:rPr>
      </w:pPr>
      <w:r w:rsidRPr="00E51578">
        <w:rPr>
          <w:rFonts w:ascii="Arial" w:eastAsia="Times New Roman" w:hAnsi="Arial" w:cs="Arial"/>
          <w:b/>
          <w:color w:val="2D3049"/>
          <w:sz w:val="32"/>
          <w:szCs w:val="13"/>
          <w:lang w:eastAsia="fr-FR"/>
        </w:rPr>
        <w:lastRenderedPageBreak/>
        <w:t>Du côté des acquéreurs de terres et prés, les personnes physiques agricoles représentent encore la moitié des transactions et des surfaces, mais seulement un tiers de la valeur. En parallèle, les différentes formes de sociétés (Gaec, EARL, SCEA, SA-SARL, GFA, etc.) progressent. Après une reprise en 2024, les acquisitions par les sociétés de portage du foncier ont reculé en 2025.</w:t>
      </w:r>
    </w:p>
    <w:p w:rsidR="00E51578" w:rsidRPr="00E51578" w:rsidRDefault="00E51578" w:rsidP="00E51578">
      <w:pPr>
        <w:spacing w:line="242" w:lineRule="atLeast"/>
        <w:rPr>
          <w:rFonts w:ascii="Arial" w:eastAsia="Times New Roman" w:hAnsi="Arial" w:cs="Arial"/>
          <w:b/>
          <w:color w:val="2D3049"/>
          <w:sz w:val="32"/>
          <w:szCs w:val="13"/>
          <w:lang w:eastAsia="fr-FR"/>
        </w:rPr>
      </w:pPr>
      <w:r w:rsidRPr="00E51578">
        <w:rPr>
          <w:rFonts w:ascii="Arial" w:eastAsia="Times New Roman" w:hAnsi="Arial" w:cs="Arial"/>
          <w:b/>
          <w:color w:val="2D3049"/>
          <w:sz w:val="32"/>
          <w:szCs w:val="13"/>
          <w:lang w:eastAsia="fr-FR"/>
        </w:rPr>
        <w:t>Sur une décennie, les personnes morales (agricoles et non agricoles) affichent un nombre de transactions et une surface multipliée par 1,9 entre 2016 et 2025. Enfin, les personnes physiques non agricoles représentent 25% des acquéreurs.</w:t>
      </w:r>
    </w:p>
    <w:p w:rsidR="00E51578" w:rsidRPr="00E51578" w:rsidRDefault="00E51578">
      <w:pPr>
        <w:rPr>
          <w:b/>
          <w:sz w:val="24"/>
        </w:rPr>
      </w:pPr>
    </w:p>
    <w:sectPr w:rsidR="00E51578" w:rsidRPr="00E51578" w:rsidSect="00E515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118" w:rsidRDefault="00A57118" w:rsidP="00A57118">
      <w:pPr>
        <w:spacing w:after="0" w:line="240" w:lineRule="auto"/>
      </w:pPr>
      <w:r>
        <w:separator/>
      </w:r>
    </w:p>
  </w:endnote>
  <w:endnote w:type="continuationSeparator" w:id="1">
    <w:p w:rsidR="00A57118" w:rsidRDefault="00A57118" w:rsidP="00A57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18" w:rsidRDefault="00A5711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18" w:rsidRDefault="00A5711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18" w:rsidRDefault="00A571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118" w:rsidRDefault="00A57118" w:rsidP="00A57118">
      <w:pPr>
        <w:spacing w:after="0" w:line="240" w:lineRule="auto"/>
      </w:pPr>
      <w:r>
        <w:separator/>
      </w:r>
    </w:p>
  </w:footnote>
  <w:footnote w:type="continuationSeparator" w:id="1">
    <w:p w:rsidR="00A57118" w:rsidRDefault="00A57118" w:rsidP="00A57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18" w:rsidRDefault="00A5711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478766"/>
      <w:docPartObj>
        <w:docPartGallery w:val="Page Numbers (Top of Page)"/>
        <w:docPartUnique/>
      </w:docPartObj>
    </w:sdtPr>
    <w:sdtContent>
      <w:p w:rsidR="00A57118" w:rsidRDefault="00A57118">
        <w:pPr>
          <w:pStyle w:val="En-tte"/>
          <w:jc w:val="right"/>
        </w:pPr>
        <w:fldSimple w:instr=" PAGE   \* MERGEFORMAT ">
          <w:r>
            <w:rPr>
              <w:noProof/>
            </w:rPr>
            <w:t>3</w:t>
          </w:r>
        </w:fldSimple>
      </w:p>
    </w:sdtContent>
  </w:sdt>
  <w:p w:rsidR="00A57118" w:rsidRDefault="00A5711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18" w:rsidRDefault="00A5711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5EB"/>
    <w:multiLevelType w:val="multilevel"/>
    <w:tmpl w:val="08A85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BC70DB"/>
    <w:multiLevelType w:val="multilevel"/>
    <w:tmpl w:val="02D2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1578"/>
    <w:rsid w:val="004119A9"/>
    <w:rsid w:val="00A57118"/>
    <w:rsid w:val="00E515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A9"/>
  </w:style>
  <w:style w:type="paragraph" w:styleId="Titre1">
    <w:name w:val="heading 1"/>
    <w:basedOn w:val="Normal"/>
    <w:link w:val="Titre1Car"/>
    <w:uiPriority w:val="9"/>
    <w:qFormat/>
    <w:rsid w:val="00E51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515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link w:val="Titre5Car"/>
    <w:uiPriority w:val="9"/>
    <w:qFormat/>
    <w:rsid w:val="00E5157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51578"/>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157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51578"/>
    <w:rPr>
      <w:rFonts w:ascii="Times New Roman" w:eastAsia="Times New Roman" w:hAnsi="Times New Roman" w:cs="Times New Roman"/>
      <w:b/>
      <w:bCs/>
      <w:sz w:val="36"/>
      <w:szCs w:val="36"/>
      <w:lang w:eastAsia="fr-FR"/>
    </w:rPr>
  </w:style>
  <w:style w:type="character" w:customStyle="1" w:styleId="Titre5Car">
    <w:name w:val="Titre 5 Car"/>
    <w:basedOn w:val="Policepardfaut"/>
    <w:link w:val="Titre5"/>
    <w:uiPriority w:val="9"/>
    <w:rsid w:val="00E51578"/>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51578"/>
    <w:rPr>
      <w:rFonts w:ascii="Times New Roman" w:eastAsia="Times New Roman" w:hAnsi="Times New Roman" w:cs="Times New Roman"/>
      <w:b/>
      <w:bCs/>
      <w:sz w:val="15"/>
      <w:szCs w:val="15"/>
      <w:lang w:eastAsia="fr-FR"/>
    </w:rPr>
  </w:style>
  <w:style w:type="character" w:styleId="Lienhypertexte">
    <w:name w:val="Hyperlink"/>
    <w:basedOn w:val="Policepardfaut"/>
    <w:uiPriority w:val="99"/>
    <w:semiHidden/>
    <w:unhideWhenUsed/>
    <w:rsid w:val="00E51578"/>
    <w:rPr>
      <w:color w:val="0000FF"/>
      <w:u w:val="single"/>
    </w:rPr>
  </w:style>
  <w:style w:type="character" w:customStyle="1" w:styleId="typography">
    <w:name w:val="typography"/>
    <w:basedOn w:val="Policepardfaut"/>
    <w:rsid w:val="00E51578"/>
  </w:style>
  <w:style w:type="paragraph" w:styleId="z-Hautduformulaire">
    <w:name w:val="HTML Top of Form"/>
    <w:basedOn w:val="Normal"/>
    <w:next w:val="Normal"/>
    <w:link w:val="z-HautduformulaireCar"/>
    <w:hidden/>
    <w:uiPriority w:val="99"/>
    <w:semiHidden/>
    <w:unhideWhenUsed/>
    <w:rsid w:val="00E5157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51578"/>
    <w:rPr>
      <w:rFonts w:ascii="Arial" w:eastAsia="Times New Roman" w:hAnsi="Arial" w:cs="Arial"/>
      <w:vanish/>
      <w:sz w:val="16"/>
      <w:szCs w:val="16"/>
      <w:lang w:eastAsia="fr-FR"/>
    </w:rPr>
  </w:style>
  <w:style w:type="character" w:customStyle="1" w:styleId="btn-label">
    <w:name w:val="btn-label"/>
    <w:basedOn w:val="Policepardfaut"/>
    <w:rsid w:val="00E51578"/>
  </w:style>
  <w:style w:type="paragraph" w:styleId="z-Basduformulaire">
    <w:name w:val="HTML Bottom of Form"/>
    <w:basedOn w:val="Normal"/>
    <w:next w:val="Normal"/>
    <w:link w:val="z-BasduformulaireCar"/>
    <w:hidden/>
    <w:uiPriority w:val="99"/>
    <w:semiHidden/>
    <w:unhideWhenUsed/>
    <w:rsid w:val="00E5157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51578"/>
    <w:rPr>
      <w:rFonts w:ascii="Arial" w:eastAsia="Times New Roman" w:hAnsi="Arial" w:cs="Arial"/>
      <w:vanish/>
      <w:sz w:val="16"/>
      <w:szCs w:val="16"/>
      <w:lang w:eastAsia="fr-FR"/>
    </w:rPr>
  </w:style>
  <w:style w:type="paragraph" w:customStyle="1" w:styleId="typography1">
    <w:name w:val="typography1"/>
    <w:basedOn w:val="Normal"/>
    <w:rsid w:val="00E515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515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51578"/>
    <w:rPr>
      <w:i/>
      <w:iCs/>
    </w:rPr>
  </w:style>
  <w:style w:type="paragraph" w:styleId="Textedebulles">
    <w:name w:val="Balloon Text"/>
    <w:basedOn w:val="Normal"/>
    <w:link w:val="TextedebullesCar"/>
    <w:uiPriority w:val="99"/>
    <w:semiHidden/>
    <w:unhideWhenUsed/>
    <w:rsid w:val="00E515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578"/>
    <w:rPr>
      <w:rFonts w:ascii="Tahoma" w:hAnsi="Tahoma" w:cs="Tahoma"/>
      <w:sz w:val="16"/>
      <w:szCs w:val="16"/>
    </w:rPr>
  </w:style>
  <w:style w:type="paragraph" w:styleId="En-tte">
    <w:name w:val="header"/>
    <w:basedOn w:val="Normal"/>
    <w:link w:val="En-tteCar"/>
    <w:uiPriority w:val="99"/>
    <w:unhideWhenUsed/>
    <w:rsid w:val="00A57118"/>
    <w:pPr>
      <w:tabs>
        <w:tab w:val="center" w:pos="4536"/>
        <w:tab w:val="right" w:pos="9072"/>
      </w:tabs>
      <w:spacing w:after="0" w:line="240" w:lineRule="auto"/>
    </w:pPr>
  </w:style>
  <w:style w:type="character" w:customStyle="1" w:styleId="En-tteCar">
    <w:name w:val="En-tête Car"/>
    <w:basedOn w:val="Policepardfaut"/>
    <w:link w:val="En-tte"/>
    <w:uiPriority w:val="99"/>
    <w:rsid w:val="00A57118"/>
  </w:style>
  <w:style w:type="paragraph" w:styleId="Pieddepage">
    <w:name w:val="footer"/>
    <w:basedOn w:val="Normal"/>
    <w:link w:val="PieddepageCar"/>
    <w:uiPriority w:val="99"/>
    <w:semiHidden/>
    <w:unhideWhenUsed/>
    <w:rsid w:val="00A5711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7118"/>
  </w:style>
</w:styles>
</file>

<file path=word/webSettings.xml><?xml version="1.0" encoding="utf-8"?>
<w:webSettings xmlns:r="http://schemas.openxmlformats.org/officeDocument/2006/relationships" xmlns:w="http://schemas.openxmlformats.org/wordprocessingml/2006/main">
  <w:divs>
    <w:div w:id="1242986402">
      <w:bodyDiv w:val="1"/>
      <w:marLeft w:val="0"/>
      <w:marRight w:val="0"/>
      <w:marTop w:val="0"/>
      <w:marBottom w:val="0"/>
      <w:divBdr>
        <w:top w:val="none" w:sz="0" w:space="0" w:color="auto"/>
        <w:left w:val="none" w:sz="0" w:space="0" w:color="auto"/>
        <w:bottom w:val="none" w:sz="0" w:space="0" w:color="auto"/>
        <w:right w:val="none" w:sz="0" w:space="0" w:color="auto"/>
      </w:divBdr>
      <w:divsChild>
        <w:div w:id="3098181">
          <w:marLeft w:val="0"/>
          <w:marRight w:val="0"/>
          <w:marTop w:val="0"/>
          <w:marBottom w:val="0"/>
          <w:divBdr>
            <w:top w:val="none" w:sz="0" w:space="0" w:color="auto"/>
            <w:left w:val="none" w:sz="0" w:space="0" w:color="auto"/>
            <w:bottom w:val="none" w:sz="0" w:space="0" w:color="auto"/>
            <w:right w:val="none" w:sz="0" w:space="0" w:color="auto"/>
          </w:divBdr>
          <w:divsChild>
            <w:div w:id="235282100">
              <w:marLeft w:val="0"/>
              <w:marRight w:val="0"/>
              <w:marTop w:val="0"/>
              <w:marBottom w:val="0"/>
              <w:divBdr>
                <w:top w:val="none" w:sz="0" w:space="0" w:color="auto"/>
                <w:left w:val="none" w:sz="0" w:space="0" w:color="auto"/>
                <w:bottom w:val="none" w:sz="0" w:space="0" w:color="auto"/>
                <w:right w:val="none" w:sz="0" w:space="0" w:color="auto"/>
              </w:divBdr>
            </w:div>
          </w:divsChild>
        </w:div>
        <w:div w:id="1589539971">
          <w:marLeft w:val="0"/>
          <w:marRight w:val="0"/>
          <w:marTop w:val="0"/>
          <w:marBottom w:val="171"/>
          <w:divBdr>
            <w:top w:val="none" w:sz="0" w:space="0" w:color="auto"/>
            <w:left w:val="none" w:sz="0" w:space="0" w:color="auto"/>
            <w:bottom w:val="single" w:sz="2" w:space="1" w:color="EFECEC"/>
            <w:right w:val="none" w:sz="0" w:space="0" w:color="auto"/>
          </w:divBdr>
          <w:divsChild>
            <w:div w:id="1381519772">
              <w:marLeft w:val="0"/>
              <w:marRight w:val="0"/>
              <w:marTop w:val="0"/>
              <w:marBottom w:val="0"/>
              <w:divBdr>
                <w:top w:val="none" w:sz="0" w:space="0" w:color="auto"/>
                <w:left w:val="none" w:sz="0" w:space="0" w:color="auto"/>
                <w:bottom w:val="none" w:sz="0" w:space="0" w:color="auto"/>
                <w:right w:val="none" w:sz="0" w:space="0" w:color="auto"/>
              </w:divBdr>
            </w:div>
          </w:divsChild>
        </w:div>
        <w:div w:id="5714571">
          <w:marLeft w:val="0"/>
          <w:marRight w:val="0"/>
          <w:marTop w:val="0"/>
          <w:marBottom w:val="0"/>
          <w:divBdr>
            <w:top w:val="none" w:sz="0" w:space="0" w:color="auto"/>
            <w:left w:val="none" w:sz="0" w:space="0" w:color="auto"/>
            <w:bottom w:val="none" w:sz="0" w:space="0" w:color="auto"/>
            <w:right w:val="none" w:sz="0" w:space="0" w:color="auto"/>
          </w:divBdr>
          <w:divsChild>
            <w:div w:id="1879851957">
              <w:marLeft w:val="0"/>
              <w:marRight w:val="0"/>
              <w:marTop w:val="0"/>
              <w:marBottom w:val="0"/>
              <w:divBdr>
                <w:top w:val="none" w:sz="0" w:space="0" w:color="auto"/>
                <w:left w:val="none" w:sz="0" w:space="0" w:color="auto"/>
                <w:bottom w:val="none" w:sz="0" w:space="0" w:color="auto"/>
                <w:right w:val="none" w:sz="0" w:space="0" w:color="auto"/>
              </w:divBdr>
            </w:div>
          </w:divsChild>
        </w:div>
        <w:div w:id="1455754247">
          <w:marLeft w:val="0"/>
          <w:marRight w:val="0"/>
          <w:marTop w:val="0"/>
          <w:marBottom w:val="171"/>
          <w:divBdr>
            <w:top w:val="none" w:sz="0" w:space="0" w:color="auto"/>
            <w:left w:val="none" w:sz="0" w:space="0" w:color="auto"/>
            <w:bottom w:val="single" w:sz="2" w:space="0" w:color="EFECEC"/>
            <w:right w:val="none" w:sz="0" w:space="0" w:color="auto"/>
          </w:divBdr>
          <w:divsChild>
            <w:div w:id="322777961">
              <w:marLeft w:val="0"/>
              <w:marRight w:val="0"/>
              <w:marTop w:val="86"/>
              <w:marBottom w:val="171"/>
              <w:divBdr>
                <w:top w:val="none" w:sz="0" w:space="0" w:color="auto"/>
                <w:left w:val="none" w:sz="0" w:space="0" w:color="auto"/>
                <w:bottom w:val="none" w:sz="0" w:space="0" w:color="auto"/>
                <w:right w:val="none" w:sz="0" w:space="0" w:color="auto"/>
              </w:divBdr>
              <w:divsChild>
                <w:div w:id="5336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097">
          <w:marLeft w:val="0"/>
          <w:marRight w:val="0"/>
          <w:marTop w:val="0"/>
          <w:marBottom w:val="0"/>
          <w:divBdr>
            <w:top w:val="none" w:sz="0" w:space="0" w:color="auto"/>
            <w:left w:val="none" w:sz="0" w:space="0" w:color="auto"/>
            <w:bottom w:val="none" w:sz="0" w:space="0" w:color="auto"/>
            <w:right w:val="none" w:sz="0" w:space="0" w:color="auto"/>
          </w:divBdr>
          <w:divsChild>
            <w:div w:id="1307777830">
              <w:marLeft w:val="0"/>
              <w:marRight w:val="0"/>
              <w:marTop w:val="0"/>
              <w:marBottom w:val="0"/>
              <w:divBdr>
                <w:top w:val="none" w:sz="0" w:space="0" w:color="auto"/>
                <w:left w:val="none" w:sz="0" w:space="0" w:color="auto"/>
                <w:bottom w:val="none" w:sz="0" w:space="0" w:color="auto"/>
                <w:right w:val="none" w:sz="0" w:space="0" w:color="auto"/>
              </w:divBdr>
              <w:divsChild>
                <w:div w:id="1892616737">
                  <w:marLeft w:val="0"/>
                  <w:marRight w:val="0"/>
                  <w:marTop w:val="0"/>
                  <w:marBottom w:val="86"/>
                  <w:divBdr>
                    <w:top w:val="none" w:sz="0" w:space="0" w:color="auto"/>
                    <w:left w:val="none" w:sz="0" w:space="0" w:color="auto"/>
                    <w:bottom w:val="none" w:sz="0" w:space="0" w:color="auto"/>
                    <w:right w:val="none" w:sz="0" w:space="0" w:color="auto"/>
                  </w:divBdr>
                  <w:divsChild>
                    <w:div w:id="124474900">
                      <w:marLeft w:val="0"/>
                      <w:marRight w:val="0"/>
                      <w:marTop w:val="0"/>
                      <w:marBottom w:val="0"/>
                      <w:divBdr>
                        <w:top w:val="none" w:sz="0" w:space="0" w:color="auto"/>
                        <w:left w:val="none" w:sz="0" w:space="0" w:color="auto"/>
                        <w:bottom w:val="none" w:sz="0" w:space="0" w:color="auto"/>
                        <w:right w:val="none" w:sz="0" w:space="0" w:color="auto"/>
                      </w:divBdr>
                    </w:div>
                  </w:divsChild>
                </w:div>
                <w:div w:id="119999767">
                  <w:marLeft w:val="0"/>
                  <w:marRight w:val="0"/>
                  <w:marTop w:val="0"/>
                  <w:marBottom w:val="0"/>
                  <w:divBdr>
                    <w:top w:val="none" w:sz="0" w:space="0" w:color="auto"/>
                    <w:left w:val="none" w:sz="0" w:space="0" w:color="auto"/>
                    <w:bottom w:val="none" w:sz="0" w:space="0" w:color="auto"/>
                    <w:right w:val="none" w:sz="0" w:space="0" w:color="auto"/>
                  </w:divBdr>
                  <w:divsChild>
                    <w:div w:id="2090224230">
                      <w:marLeft w:val="0"/>
                      <w:marRight w:val="0"/>
                      <w:marTop w:val="0"/>
                      <w:marBottom w:val="0"/>
                      <w:divBdr>
                        <w:top w:val="none" w:sz="0" w:space="0" w:color="auto"/>
                        <w:left w:val="none" w:sz="0" w:space="0" w:color="auto"/>
                        <w:bottom w:val="none" w:sz="0" w:space="0" w:color="auto"/>
                        <w:right w:val="none" w:sz="0" w:space="0" w:color="auto"/>
                      </w:divBdr>
                      <w:divsChild>
                        <w:div w:id="751195158">
                          <w:marLeft w:val="0"/>
                          <w:marRight w:val="0"/>
                          <w:marTop w:val="0"/>
                          <w:marBottom w:val="0"/>
                          <w:divBdr>
                            <w:top w:val="none" w:sz="0" w:space="0" w:color="auto"/>
                            <w:left w:val="none" w:sz="0" w:space="0" w:color="auto"/>
                            <w:bottom w:val="none" w:sz="0" w:space="0" w:color="auto"/>
                            <w:right w:val="none" w:sz="0" w:space="0" w:color="auto"/>
                          </w:divBdr>
                          <w:divsChild>
                            <w:div w:id="4791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2954">
                      <w:marLeft w:val="171"/>
                      <w:marRight w:val="0"/>
                      <w:marTop w:val="0"/>
                      <w:marBottom w:val="0"/>
                      <w:divBdr>
                        <w:top w:val="none" w:sz="0" w:space="0" w:color="auto"/>
                        <w:left w:val="none" w:sz="0" w:space="0" w:color="auto"/>
                        <w:bottom w:val="none" w:sz="0" w:space="0" w:color="auto"/>
                        <w:right w:val="none" w:sz="0" w:space="0" w:color="auto"/>
                      </w:divBdr>
                      <w:divsChild>
                        <w:div w:id="1066608116">
                          <w:marLeft w:val="0"/>
                          <w:marRight w:val="171"/>
                          <w:marTop w:val="0"/>
                          <w:marBottom w:val="0"/>
                          <w:divBdr>
                            <w:top w:val="none" w:sz="0" w:space="0" w:color="auto"/>
                            <w:left w:val="none" w:sz="0" w:space="0" w:color="auto"/>
                            <w:bottom w:val="none" w:sz="0" w:space="0" w:color="auto"/>
                            <w:right w:val="none" w:sz="0" w:space="0" w:color="auto"/>
                          </w:divBdr>
                        </w:div>
                        <w:div w:id="4908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55">
                  <w:marLeft w:val="0"/>
                  <w:marRight w:val="0"/>
                  <w:marTop w:val="0"/>
                  <w:marBottom w:val="513"/>
                  <w:divBdr>
                    <w:top w:val="none" w:sz="0" w:space="0" w:color="auto"/>
                    <w:left w:val="none" w:sz="0" w:space="0" w:color="auto"/>
                    <w:bottom w:val="none" w:sz="0" w:space="0" w:color="auto"/>
                    <w:right w:val="none" w:sz="0" w:space="0" w:color="auto"/>
                  </w:divBdr>
                  <w:divsChild>
                    <w:div w:id="625964227">
                      <w:marLeft w:val="0"/>
                      <w:marRight w:val="0"/>
                      <w:marTop w:val="0"/>
                      <w:marBottom w:val="0"/>
                      <w:divBdr>
                        <w:top w:val="none" w:sz="0" w:space="0" w:color="auto"/>
                        <w:left w:val="none" w:sz="0" w:space="0" w:color="auto"/>
                        <w:bottom w:val="none" w:sz="0" w:space="0" w:color="auto"/>
                        <w:right w:val="none" w:sz="0" w:space="0" w:color="auto"/>
                      </w:divBdr>
                      <w:divsChild>
                        <w:div w:id="808591645">
                          <w:marLeft w:val="0"/>
                          <w:marRight w:val="0"/>
                          <w:marTop w:val="0"/>
                          <w:marBottom w:val="0"/>
                          <w:divBdr>
                            <w:top w:val="none" w:sz="0" w:space="0" w:color="auto"/>
                            <w:left w:val="none" w:sz="0" w:space="0" w:color="auto"/>
                            <w:bottom w:val="none" w:sz="0" w:space="0" w:color="auto"/>
                            <w:right w:val="none" w:sz="0" w:space="0" w:color="auto"/>
                          </w:divBdr>
                        </w:div>
                        <w:div w:id="1597326401">
                          <w:marLeft w:val="0"/>
                          <w:marRight w:val="0"/>
                          <w:marTop w:val="0"/>
                          <w:marBottom w:val="0"/>
                          <w:divBdr>
                            <w:top w:val="none" w:sz="0" w:space="0" w:color="auto"/>
                            <w:left w:val="none" w:sz="0" w:space="0" w:color="auto"/>
                            <w:bottom w:val="none" w:sz="0" w:space="0" w:color="auto"/>
                            <w:right w:val="none" w:sz="0" w:space="0" w:color="auto"/>
                          </w:divBdr>
                        </w:div>
                        <w:div w:id="1698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559</Words>
  <Characters>3076</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de Bony</dc:creator>
  <cp:lastModifiedBy>Olivier de Bony</cp:lastModifiedBy>
  <cp:revision>3</cp:revision>
  <dcterms:created xsi:type="dcterms:W3CDTF">2026-05-23T08:36:00Z</dcterms:created>
  <dcterms:modified xsi:type="dcterms:W3CDTF">2026-05-23T08:48:00Z</dcterms:modified>
</cp:coreProperties>
</file>